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80592" w14:textId="77777777" w:rsidR="00C25E9D" w:rsidRDefault="00C25E9D" w:rsidP="00C25E9D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Behívóparancshoz csatolt általános tájékoztató </w:t>
      </w:r>
    </w:p>
    <w:p w14:paraId="2C3A6597" w14:textId="77777777" w:rsidR="00C25E9D" w:rsidRDefault="00C25E9D" w:rsidP="00C25E9D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önkéntes tartalékos katonák részére</w:t>
      </w:r>
    </w:p>
    <w:p w14:paraId="57582A7F" w14:textId="77777777" w:rsidR="00C25E9D" w:rsidRDefault="00C25E9D" w:rsidP="00C25E9D">
      <w:pPr>
        <w:autoSpaceDE w:val="0"/>
        <w:autoSpaceDN w:val="0"/>
        <w:jc w:val="both"/>
        <w:rPr>
          <w:b/>
          <w:bCs/>
          <w:sz w:val="24"/>
          <w:szCs w:val="24"/>
          <w:u w:val="single"/>
        </w:rPr>
      </w:pPr>
    </w:p>
    <w:p w14:paraId="6C631F67" w14:textId="77777777" w:rsidR="00C25E9D" w:rsidRDefault="00C25E9D" w:rsidP="00C25E9D">
      <w:pPr>
        <w:autoSpaceDE w:val="0"/>
        <w:autoSpaceDN w:val="0"/>
        <w:ind w:firstLine="284"/>
        <w:jc w:val="both"/>
        <w:rPr>
          <w:b/>
          <w:bCs/>
          <w:u w:val="single"/>
        </w:rPr>
      </w:pPr>
      <w:r>
        <w:rPr>
          <w:b/>
          <w:bCs/>
          <w:u w:val="single"/>
        </w:rPr>
        <w:t>Az önkéntes tartalékos (a továbbiakban: ÖT) katonák járandóságai</w:t>
      </w:r>
    </w:p>
    <w:p w14:paraId="31B8A762" w14:textId="77777777" w:rsidR="00C25E9D" w:rsidRDefault="00C25E9D" w:rsidP="00C25E9D">
      <w:pPr>
        <w:autoSpaceDE w:val="0"/>
        <w:autoSpaceDN w:val="0"/>
        <w:jc w:val="both"/>
        <w:rPr>
          <w:b/>
          <w:bCs/>
          <w:sz w:val="16"/>
          <w:szCs w:val="16"/>
          <w:u w:val="single"/>
        </w:rPr>
      </w:pPr>
    </w:p>
    <w:p w14:paraId="13FA22E9" w14:textId="77777777" w:rsidR="00C25E9D" w:rsidRDefault="00C25E9D" w:rsidP="00C25E9D">
      <w:pPr>
        <w:numPr>
          <w:ilvl w:val="0"/>
          <w:numId w:val="1"/>
        </w:numPr>
        <w:autoSpaceDE w:val="0"/>
        <w:autoSpaceDN w:val="0"/>
        <w:spacing w:before="60"/>
        <w:ind w:left="714" w:hanging="357"/>
        <w:jc w:val="both"/>
        <w:rPr>
          <w:sz w:val="24"/>
          <w:szCs w:val="24"/>
        </w:rPr>
      </w:pPr>
      <w:r>
        <w:rPr>
          <w:b/>
          <w:bCs/>
        </w:rPr>
        <w:t>illetmény és illetményjellegű juttatások</w:t>
      </w:r>
      <w:r>
        <w:t xml:space="preserve"> (Az állományilletékes katonai szervezet személyügyi szerve ad tájékoztatást.)</w:t>
      </w:r>
    </w:p>
    <w:p w14:paraId="7E1A02FB" w14:textId="77777777" w:rsidR="00C25E9D" w:rsidRDefault="00C25E9D" w:rsidP="00C25E9D">
      <w:pPr>
        <w:numPr>
          <w:ilvl w:val="0"/>
          <w:numId w:val="1"/>
        </w:numPr>
        <w:autoSpaceDE w:val="0"/>
        <w:autoSpaceDN w:val="0"/>
        <w:spacing w:before="60"/>
        <w:ind w:left="714" w:hanging="357"/>
        <w:jc w:val="both"/>
      </w:pPr>
      <w:r>
        <w:rPr>
          <w:b/>
          <w:bCs/>
        </w:rPr>
        <w:t>laktanyai elhelyezés</w:t>
      </w:r>
      <w:r>
        <w:t xml:space="preserve"> (szállás)</w:t>
      </w:r>
    </w:p>
    <w:p w14:paraId="46F15C2E" w14:textId="77777777" w:rsidR="00C25E9D" w:rsidRDefault="00C25E9D" w:rsidP="00C25E9D">
      <w:pPr>
        <w:numPr>
          <w:ilvl w:val="0"/>
          <w:numId w:val="1"/>
        </w:numPr>
        <w:autoSpaceDE w:val="0"/>
        <w:autoSpaceDN w:val="0"/>
        <w:spacing w:before="60"/>
        <w:ind w:left="714" w:hanging="357"/>
        <w:jc w:val="both"/>
      </w:pPr>
      <w:r>
        <w:rPr>
          <w:b/>
          <w:bCs/>
        </w:rPr>
        <w:t>térítésmentes élelmezési ellátás</w:t>
      </w:r>
      <w:r>
        <w:t xml:space="preserve"> (A Magyar Honvédség élelmezési ellátásáról szóló 14/2018. (IX.17.) HM rendelet alapján.) Készpénz-megváltás adó-és járulékköteles jövedelem!</w:t>
      </w:r>
    </w:p>
    <w:p w14:paraId="346A3A70" w14:textId="77777777" w:rsidR="00C25E9D" w:rsidRDefault="00C25E9D" w:rsidP="00C25E9D">
      <w:pPr>
        <w:numPr>
          <w:ilvl w:val="0"/>
          <w:numId w:val="1"/>
        </w:numPr>
        <w:autoSpaceDE w:val="0"/>
        <w:autoSpaceDN w:val="0"/>
        <w:spacing w:before="60"/>
        <w:ind w:left="714" w:hanging="357"/>
        <w:jc w:val="both"/>
      </w:pPr>
      <w:r>
        <w:rPr>
          <w:b/>
          <w:bCs/>
        </w:rPr>
        <w:t>ruházati ellátás</w:t>
      </w:r>
      <w:r>
        <w:t xml:space="preserve"> (A ruházati ellátásról szóló 20/2013. (IX.16.) HM rendelet alapján.) </w:t>
      </w:r>
    </w:p>
    <w:p w14:paraId="6A50997A" w14:textId="77777777" w:rsidR="00C25E9D" w:rsidRDefault="00C25E9D" w:rsidP="00C25E9D">
      <w:pPr>
        <w:numPr>
          <w:ilvl w:val="0"/>
          <w:numId w:val="1"/>
        </w:numPr>
        <w:autoSpaceDE w:val="0"/>
        <w:autoSpaceDN w:val="0"/>
        <w:spacing w:before="60"/>
        <w:ind w:left="714" w:hanging="357"/>
        <w:jc w:val="both"/>
      </w:pPr>
      <w:r>
        <w:rPr>
          <w:b/>
          <w:bCs/>
        </w:rPr>
        <w:t>egyes szociális ellátások</w:t>
      </w:r>
      <w:r>
        <w:t xml:space="preserve"> (Kérelemre, az egyes pénzbeli, természetbeni és szociális juttatásokról szóló 12/2013. (VIII. 15.) HM rendelet alapján.) </w:t>
      </w:r>
    </w:p>
    <w:p w14:paraId="311CBF67" w14:textId="77777777" w:rsidR="00C25E9D" w:rsidRDefault="00C25E9D" w:rsidP="00C25E9D">
      <w:pPr>
        <w:numPr>
          <w:ilvl w:val="0"/>
          <w:numId w:val="1"/>
        </w:numPr>
        <w:autoSpaceDE w:val="0"/>
        <w:autoSpaceDN w:val="0"/>
        <w:spacing w:before="60"/>
        <w:ind w:left="714" w:hanging="357"/>
        <w:jc w:val="both"/>
        <w:rPr>
          <w:b/>
          <w:bCs/>
        </w:rPr>
      </w:pPr>
      <w:r>
        <w:rPr>
          <w:b/>
          <w:bCs/>
        </w:rPr>
        <w:t>egyes utazási költségeinek megtérítése</w:t>
      </w:r>
    </w:p>
    <w:p w14:paraId="36E7A357" w14:textId="77777777" w:rsidR="00C25E9D" w:rsidRDefault="00C25E9D" w:rsidP="00C25E9D">
      <w:pPr>
        <w:autoSpaceDE w:val="0"/>
        <w:autoSpaceDN w:val="0"/>
        <w:spacing w:before="120"/>
        <w:ind w:left="709"/>
        <w:jc w:val="both"/>
      </w:pPr>
      <w:r>
        <w:t>Az állományilletékes katonai szervezet - az egyes költségtérítésekről szóló 19/2013. (IX. 6.) HM rendelet alapján - az alábbi esetekben téríti meg (részben, vagy egészben) az utazási költségeket:</w:t>
      </w:r>
    </w:p>
    <w:p w14:paraId="6F722109" w14:textId="77777777" w:rsidR="00C25E9D" w:rsidRDefault="00C25E9D" w:rsidP="00C25E9D">
      <w:pPr>
        <w:numPr>
          <w:ilvl w:val="0"/>
          <w:numId w:val="2"/>
        </w:numPr>
        <w:autoSpaceDE w:val="0"/>
        <w:autoSpaceDN w:val="0"/>
        <w:spacing w:before="60"/>
        <w:ind w:left="1134" w:hanging="357"/>
        <w:jc w:val="both"/>
      </w:pPr>
      <w:r>
        <w:t>a bevonulás, valamint a szolgálatból történő elbocsátást követő hazautazás során (számla alapján),</w:t>
      </w:r>
    </w:p>
    <w:p w14:paraId="086A4DB5" w14:textId="77777777" w:rsidR="00C25E9D" w:rsidRDefault="00C25E9D" w:rsidP="00C25E9D">
      <w:pPr>
        <w:numPr>
          <w:ilvl w:val="0"/>
          <w:numId w:val="2"/>
        </w:numPr>
        <w:autoSpaceDE w:val="0"/>
        <w:autoSpaceDN w:val="0"/>
        <w:ind w:left="1134"/>
        <w:jc w:val="both"/>
      </w:pPr>
      <w:r>
        <w:t xml:space="preserve">a tényleges katonai szolgálat alatt (jegy, bérlet alapján), valamint </w:t>
      </w:r>
    </w:p>
    <w:p w14:paraId="7133E0E8" w14:textId="77777777" w:rsidR="00C25E9D" w:rsidRDefault="00C25E9D" w:rsidP="00C25E9D">
      <w:pPr>
        <w:numPr>
          <w:ilvl w:val="0"/>
          <w:numId w:val="2"/>
        </w:numPr>
        <w:autoSpaceDE w:val="0"/>
        <w:autoSpaceDN w:val="0"/>
        <w:ind w:left="1134"/>
        <w:jc w:val="both"/>
      </w:pPr>
      <w:r>
        <w:t>a szolgálati kiküldetés (vezénylés) ideje alatt (számla alapján) – amennyiben a munkavégzés helye eltér a szolgálati helyétől és a lakhelyétől, tartózkodási helyétől.</w:t>
      </w:r>
    </w:p>
    <w:p w14:paraId="6E482169" w14:textId="77777777" w:rsidR="00C25E9D" w:rsidRDefault="00C25E9D" w:rsidP="00C25E9D">
      <w:pPr>
        <w:autoSpaceDE w:val="0"/>
        <w:autoSpaceDN w:val="0"/>
        <w:ind w:left="1440"/>
        <w:jc w:val="both"/>
        <w:rPr>
          <w:sz w:val="16"/>
          <w:szCs w:val="16"/>
        </w:rPr>
      </w:pPr>
    </w:p>
    <w:p w14:paraId="6036A02B" w14:textId="77777777" w:rsidR="00C25E9D" w:rsidRDefault="00C25E9D" w:rsidP="00C25E9D">
      <w:pPr>
        <w:autoSpaceDE w:val="0"/>
        <w:autoSpaceDN w:val="0"/>
        <w:ind w:left="284"/>
        <w:jc w:val="both"/>
        <w:rPr>
          <w:sz w:val="24"/>
          <w:szCs w:val="24"/>
        </w:rPr>
      </w:pPr>
      <w:r>
        <w:t>A számla az</w:t>
      </w:r>
      <w:r>
        <w:rPr>
          <w:b/>
          <w:bCs/>
        </w:rPr>
        <w:t xml:space="preserve"> állományilletékes katonai szervezet nevére, címére és adószámára kell, hogy kiállításra kerüljön.</w:t>
      </w:r>
      <w:r>
        <w:t xml:space="preserve"> </w:t>
      </w:r>
      <w:r>
        <w:rPr>
          <w:b/>
          <w:bCs/>
        </w:rPr>
        <w:t>Az utazási költségek elszámolásához szükségek okmányokról minden esetben érdeklődjön az állományilletékes katonai szervezetnél.</w:t>
      </w:r>
    </w:p>
    <w:p w14:paraId="2AAB8889" w14:textId="77777777" w:rsidR="00C25E9D" w:rsidRDefault="00C25E9D" w:rsidP="00C25E9D">
      <w:pPr>
        <w:autoSpaceDE w:val="0"/>
        <w:autoSpaceDN w:val="0"/>
        <w:jc w:val="both"/>
      </w:pPr>
    </w:p>
    <w:p w14:paraId="11A1AD5D" w14:textId="77777777" w:rsidR="00C25E9D" w:rsidRDefault="00C25E9D" w:rsidP="00C25E9D">
      <w:pPr>
        <w:autoSpaceDE w:val="0"/>
        <w:autoSpaceDN w:val="0"/>
        <w:ind w:firstLine="284"/>
        <w:jc w:val="both"/>
        <w:rPr>
          <w:b/>
          <w:bCs/>
          <w:u w:val="single"/>
        </w:rPr>
      </w:pPr>
      <w:r>
        <w:rPr>
          <w:b/>
          <w:bCs/>
          <w:u w:val="single"/>
        </w:rPr>
        <w:t>Az Ügyfélszolgálati Rendszer (a továbbiakban: ÜSZR) használata</w:t>
      </w:r>
    </w:p>
    <w:p w14:paraId="0284881B" w14:textId="77777777" w:rsidR="00C25E9D" w:rsidRDefault="00C25E9D" w:rsidP="00C25E9D">
      <w:pPr>
        <w:autoSpaceDE w:val="0"/>
        <w:autoSpaceDN w:val="0"/>
        <w:ind w:firstLine="360"/>
        <w:jc w:val="both"/>
        <w:rPr>
          <w:b/>
          <w:bCs/>
          <w:sz w:val="16"/>
          <w:szCs w:val="16"/>
          <w:u w:val="single"/>
        </w:rPr>
      </w:pPr>
    </w:p>
    <w:p w14:paraId="31661394" w14:textId="77777777" w:rsidR="00C25E9D" w:rsidRDefault="00C25E9D" w:rsidP="00C25E9D">
      <w:pPr>
        <w:numPr>
          <w:ilvl w:val="0"/>
          <w:numId w:val="1"/>
        </w:numPr>
        <w:autoSpaceDE w:val="0"/>
        <w:autoSpaceDN w:val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</w:rPr>
        <w:t xml:space="preserve">Az ÜSZR-be történő belépéshez a szerződéskötést követően postai úton megkapott felhasználói név és jelszó szükséges. A belépés során felmerülő problémák esetén a HM KGIR </w:t>
      </w:r>
      <w:proofErr w:type="spellStart"/>
      <w:r>
        <w:rPr>
          <w:rFonts w:eastAsia="Times New Roman"/>
        </w:rPr>
        <w:t>Call</w:t>
      </w:r>
      <w:proofErr w:type="spellEnd"/>
      <w:r>
        <w:rPr>
          <w:rFonts w:eastAsia="Times New Roman"/>
        </w:rPr>
        <w:t xml:space="preserve"> Center        </w:t>
      </w:r>
      <w:proofErr w:type="gramStart"/>
      <w:r>
        <w:rPr>
          <w:rFonts w:eastAsia="Times New Roman"/>
        </w:rPr>
        <w:t>   (</w:t>
      </w:r>
      <w:proofErr w:type="gramEnd"/>
      <w:r>
        <w:rPr>
          <w:rFonts w:eastAsia="Times New Roman"/>
        </w:rPr>
        <w:t xml:space="preserve">Tel.: </w:t>
      </w:r>
      <w:r>
        <w:rPr>
          <w:rFonts w:eastAsia="Times New Roman"/>
          <w:b/>
          <w:bCs/>
        </w:rPr>
        <w:t>+36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bCs/>
        </w:rPr>
        <w:t>(1) 236-2400</w:t>
      </w:r>
      <w:r>
        <w:rPr>
          <w:rFonts w:eastAsia="Times New Roman"/>
        </w:rPr>
        <w:t>) nyújt segítséget.</w:t>
      </w:r>
    </w:p>
    <w:p w14:paraId="3409EF35" w14:textId="77777777" w:rsidR="00C25E9D" w:rsidRDefault="00C25E9D" w:rsidP="00C25E9D">
      <w:pPr>
        <w:numPr>
          <w:ilvl w:val="0"/>
          <w:numId w:val="1"/>
        </w:numPr>
        <w:autoSpaceDE w:val="0"/>
        <w:autoSpaceDN w:val="0"/>
        <w:jc w:val="both"/>
        <w:rPr>
          <w:rFonts w:eastAsia="Times New Roman"/>
        </w:rPr>
      </w:pPr>
      <w:r>
        <w:rPr>
          <w:rFonts w:eastAsia="Times New Roman"/>
        </w:rPr>
        <w:t xml:space="preserve">A behívóparancs vagy bevonulási parancs </w:t>
      </w:r>
      <w:r>
        <w:rPr>
          <w:rFonts w:eastAsia="Times New Roman"/>
          <w:b/>
          <w:bCs/>
        </w:rPr>
        <w:t>elektronikus</w:t>
      </w:r>
      <w:r>
        <w:rPr>
          <w:rFonts w:eastAsia="Times New Roman"/>
        </w:rPr>
        <w:t xml:space="preserve"> (ÜSZR) vagy postai úton kézbesíthető, illetve közölhető. </w:t>
      </w:r>
    </w:p>
    <w:p w14:paraId="7C2A97F2" w14:textId="77777777" w:rsidR="00C25E9D" w:rsidRDefault="00C25E9D" w:rsidP="00C25E9D">
      <w:pPr>
        <w:numPr>
          <w:ilvl w:val="0"/>
          <w:numId w:val="1"/>
        </w:numPr>
        <w:autoSpaceDE w:val="0"/>
        <w:autoSpaceDN w:val="0"/>
        <w:jc w:val="both"/>
        <w:rPr>
          <w:rFonts w:eastAsia="Times New Roman"/>
        </w:rPr>
      </w:pPr>
      <w:r>
        <w:rPr>
          <w:rFonts w:eastAsia="Times New Roman"/>
        </w:rPr>
        <w:t xml:space="preserve">A rendszer lehetőséget biztosít személyes </w:t>
      </w:r>
      <w:r>
        <w:rPr>
          <w:rFonts w:eastAsia="Times New Roman"/>
          <w:b/>
          <w:bCs/>
        </w:rPr>
        <w:t>adatok, adatváltozások</w:t>
      </w:r>
      <w:r>
        <w:rPr>
          <w:rFonts w:eastAsia="Times New Roman"/>
        </w:rPr>
        <w:t xml:space="preserve"> (pl.: lakcím, személyazonosító igazolvány szám, jogosítvány stb.) </w:t>
      </w:r>
      <w:r>
        <w:rPr>
          <w:rFonts w:eastAsia="Times New Roman"/>
          <w:b/>
          <w:bCs/>
        </w:rPr>
        <w:t>bejelentésére</w:t>
      </w:r>
      <w:r>
        <w:rPr>
          <w:rFonts w:eastAsia="Times New Roman"/>
        </w:rPr>
        <w:t xml:space="preserve">, továbbá </w:t>
      </w:r>
      <w:r>
        <w:rPr>
          <w:rFonts w:eastAsia="Times New Roman"/>
          <w:b/>
          <w:bCs/>
        </w:rPr>
        <w:t>szolgálathalasztások kérelmezésére</w:t>
      </w:r>
      <w:r>
        <w:rPr>
          <w:rFonts w:eastAsia="Times New Roman"/>
        </w:rPr>
        <w:t>.</w:t>
      </w:r>
    </w:p>
    <w:p w14:paraId="09141B00" w14:textId="77777777" w:rsidR="00C25E9D" w:rsidRDefault="00C25E9D" w:rsidP="00C25E9D">
      <w:pPr>
        <w:autoSpaceDE w:val="0"/>
        <w:autoSpaceDN w:val="0"/>
        <w:jc w:val="both"/>
        <w:rPr>
          <w:sz w:val="16"/>
          <w:szCs w:val="16"/>
        </w:rPr>
      </w:pPr>
    </w:p>
    <w:p w14:paraId="635C7AAE" w14:textId="77777777" w:rsidR="00C25E9D" w:rsidRDefault="00C25E9D" w:rsidP="00C25E9D">
      <w:pPr>
        <w:autoSpaceDE w:val="0"/>
        <w:autoSpaceDN w:val="0"/>
        <w:ind w:left="284"/>
        <w:jc w:val="both"/>
        <w:rPr>
          <w:sz w:val="24"/>
          <w:szCs w:val="24"/>
        </w:rPr>
      </w:pPr>
      <w:r>
        <w:t xml:space="preserve">A hatékonyabb ügyintézés érdekében </w:t>
      </w:r>
      <w:r>
        <w:rPr>
          <w:b/>
          <w:bCs/>
        </w:rPr>
        <w:t>kérem</w:t>
      </w:r>
      <w:r>
        <w:t xml:space="preserve"> az ÜSZR-t szíveskedjen használni!</w:t>
      </w:r>
    </w:p>
    <w:p w14:paraId="6DDB6171" w14:textId="77777777" w:rsidR="00C25E9D" w:rsidRDefault="00C25E9D" w:rsidP="00C25E9D">
      <w:pPr>
        <w:autoSpaceDE w:val="0"/>
        <w:autoSpaceDN w:val="0"/>
        <w:jc w:val="both"/>
      </w:pPr>
    </w:p>
    <w:p w14:paraId="14360C09" w14:textId="77777777" w:rsidR="00C25E9D" w:rsidRDefault="00C25E9D" w:rsidP="00C25E9D">
      <w:pPr>
        <w:autoSpaceDE w:val="0"/>
        <w:autoSpaceDN w:val="0"/>
        <w:ind w:firstLine="284"/>
        <w:jc w:val="both"/>
        <w:rPr>
          <w:b/>
          <w:bCs/>
          <w:u w:val="single"/>
        </w:rPr>
      </w:pPr>
      <w:r>
        <w:rPr>
          <w:b/>
          <w:bCs/>
          <w:u w:val="single"/>
        </w:rPr>
        <w:t>A tényleges szolgálatteljesítésre az alábbi felszereléseket hozza magával:</w:t>
      </w:r>
    </w:p>
    <w:p w14:paraId="787882F8" w14:textId="50D19680" w:rsidR="00C25E9D" w:rsidRDefault="00C25E9D" w:rsidP="00C25E9D">
      <w:pPr>
        <w:numPr>
          <w:ilvl w:val="0"/>
          <w:numId w:val="1"/>
        </w:numPr>
        <w:autoSpaceDE w:val="0"/>
        <w:autoSpaceDN w:val="0"/>
        <w:spacing w:before="60"/>
        <w:ind w:left="714" w:hanging="357"/>
        <w:jc w:val="both"/>
      </w:pPr>
      <w:r>
        <w:t xml:space="preserve">személyi okmányai (személyazonosító igazolvány, lakcímkártya, TAJ kártya, </w:t>
      </w:r>
      <w:r w:rsidRPr="001E176F">
        <w:t>adó</w:t>
      </w:r>
      <w:r>
        <w:t>igazolvány</w:t>
      </w:r>
      <w:r w:rsidRPr="001E176F">
        <w:t xml:space="preserve">, </w:t>
      </w:r>
      <w:r>
        <w:t>vezetői engedély),</w:t>
      </w:r>
    </w:p>
    <w:p w14:paraId="42454BCB" w14:textId="77777777" w:rsidR="00C25E9D" w:rsidRDefault="00C25E9D" w:rsidP="00C25E9D">
      <w:pPr>
        <w:numPr>
          <w:ilvl w:val="0"/>
          <w:numId w:val="1"/>
        </w:numPr>
        <w:autoSpaceDE w:val="0"/>
        <w:autoSpaceDN w:val="0"/>
        <w:jc w:val="both"/>
        <w:rPr>
          <w:rFonts w:eastAsia="Times New Roman"/>
        </w:rPr>
      </w:pPr>
      <w:r>
        <w:rPr>
          <w:rFonts w:eastAsia="Times New Roman"/>
        </w:rPr>
        <w:t>szabadidő ruházat,</w:t>
      </w:r>
    </w:p>
    <w:p w14:paraId="77799391" w14:textId="77777777" w:rsidR="00C25E9D" w:rsidRDefault="00C25E9D" w:rsidP="00C25E9D">
      <w:pPr>
        <w:numPr>
          <w:ilvl w:val="0"/>
          <w:numId w:val="1"/>
        </w:numPr>
        <w:autoSpaceDE w:val="0"/>
        <w:autoSpaceDN w:val="0"/>
        <w:jc w:val="both"/>
        <w:rPr>
          <w:rFonts w:eastAsia="Times New Roman"/>
        </w:rPr>
      </w:pPr>
      <w:r>
        <w:rPr>
          <w:rFonts w:eastAsia="Times New Roman"/>
        </w:rPr>
        <w:t>tisztálkodó felszerelés, alsónemű, zokni és papucs.</w:t>
      </w:r>
    </w:p>
    <w:p w14:paraId="0E1F264D" w14:textId="77777777" w:rsidR="00C25E9D" w:rsidRDefault="00C25E9D" w:rsidP="00C25E9D">
      <w:pPr>
        <w:autoSpaceDE w:val="0"/>
        <w:autoSpaceDN w:val="0"/>
        <w:ind w:firstLine="360"/>
        <w:jc w:val="both"/>
        <w:rPr>
          <w:sz w:val="16"/>
          <w:szCs w:val="16"/>
        </w:rPr>
      </w:pPr>
    </w:p>
    <w:p w14:paraId="5C0D1EEE" w14:textId="77777777" w:rsidR="00C25E9D" w:rsidRDefault="00C25E9D" w:rsidP="00C25E9D">
      <w:pPr>
        <w:autoSpaceDE w:val="0"/>
        <w:autoSpaceDN w:val="0"/>
        <w:ind w:left="284"/>
        <w:jc w:val="both"/>
        <w:rPr>
          <w:sz w:val="24"/>
          <w:szCs w:val="24"/>
        </w:rPr>
      </w:pPr>
      <w:r>
        <w:t>A behívása során egyéb célszerű felszerelési eszközökről az állományilletékes katonai szervezete a</w:t>
      </w:r>
      <w:bookmarkStart w:id="0" w:name="_GoBack"/>
      <w:bookmarkEnd w:id="0"/>
      <w:r>
        <w:t>d felvilágosítást.</w:t>
      </w:r>
    </w:p>
    <w:p w14:paraId="7E686AD2" w14:textId="77777777" w:rsidR="00C25E9D" w:rsidRDefault="00C25E9D" w:rsidP="00C25E9D">
      <w:pPr>
        <w:autoSpaceDE w:val="0"/>
        <w:autoSpaceDN w:val="0"/>
        <w:ind w:left="284"/>
        <w:jc w:val="both"/>
        <w:rPr>
          <w:sz w:val="16"/>
          <w:szCs w:val="16"/>
        </w:rPr>
      </w:pPr>
    </w:p>
    <w:p w14:paraId="06D6FCBE" w14:textId="77777777" w:rsidR="00C25E9D" w:rsidRDefault="00C25E9D" w:rsidP="00C25E9D">
      <w:pPr>
        <w:autoSpaceDE w:val="0"/>
        <w:autoSpaceDN w:val="0"/>
        <w:ind w:left="284"/>
        <w:jc w:val="both"/>
        <w:rPr>
          <w:sz w:val="24"/>
          <w:szCs w:val="24"/>
        </w:rPr>
      </w:pPr>
      <w:r>
        <w:lastRenderedPageBreak/>
        <w:t>A tájékoztatóban leírtakkal kapcsolatosan felmerült egyéb kérdések esetén tájékoztatást az állományilletékes katonai szervezettől kérhet.</w:t>
      </w:r>
    </w:p>
    <w:p w14:paraId="00AAC1A5" w14:textId="77777777" w:rsidR="00C25E9D" w:rsidRDefault="00C25E9D" w:rsidP="00C25E9D">
      <w:pPr>
        <w:autoSpaceDE w:val="0"/>
        <w:autoSpaceDN w:val="0"/>
        <w:ind w:left="284"/>
        <w:jc w:val="both"/>
        <w:rPr>
          <w:sz w:val="16"/>
          <w:szCs w:val="16"/>
        </w:rPr>
      </w:pPr>
    </w:p>
    <w:p w14:paraId="31D38865" w14:textId="77777777" w:rsidR="00C25E9D" w:rsidRDefault="00C25E9D" w:rsidP="00C25E9D">
      <w:pPr>
        <w:autoSpaceDE w:val="0"/>
        <w:autoSpaceDN w:val="0"/>
        <w:ind w:left="284"/>
        <w:jc w:val="both"/>
        <w:rPr>
          <w:sz w:val="24"/>
          <w:szCs w:val="24"/>
        </w:rPr>
      </w:pPr>
      <w:r>
        <w:t xml:space="preserve">Az ÖT szolgálattal kapcsolatos részletesebb tájékoztató a </w:t>
      </w:r>
      <w:hyperlink r:id="rId5" w:history="1">
        <w:r>
          <w:rPr>
            <w:rStyle w:val="Hiperhivatkozs"/>
            <w:b/>
            <w:bCs/>
            <w:color w:val="auto"/>
            <w:u w:val="none"/>
          </w:rPr>
          <w:t>hadkiegeszites.hu</w:t>
        </w:r>
      </w:hyperlink>
      <w:r>
        <w:t xml:space="preserve"> honlap alsó felületén (</w:t>
      </w:r>
      <w:r>
        <w:rPr>
          <w:i/>
          <w:iCs/>
        </w:rPr>
        <w:t>Hasznos dokumentumok</w:t>
      </w:r>
      <w:r>
        <w:t xml:space="preserve"> alatt, </w:t>
      </w:r>
      <w:r>
        <w:rPr>
          <w:i/>
          <w:iCs/>
        </w:rPr>
        <w:t xml:space="preserve">Behívóparancshoz csatolt általános </w:t>
      </w:r>
      <w:proofErr w:type="gramStart"/>
      <w:r>
        <w:rPr>
          <w:i/>
          <w:iCs/>
        </w:rPr>
        <w:t>tájékoztató.pdf</w:t>
      </w:r>
      <w:r>
        <w:t>  néven</w:t>
      </w:r>
      <w:proofErr w:type="gramEnd"/>
      <w:r>
        <w:t>) található, vagy az alábbi linken érhető el:</w:t>
      </w:r>
    </w:p>
    <w:p w14:paraId="1B24600A" w14:textId="77777777" w:rsidR="00C25E9D" w:rsidRDefault="00C25E9D" w:rsidP="00C25E9D">
      <w:pPr>
        <w:autoSpaceDE w:val="0"/>
        <w:autoSpaceDN w:val="0"/>
        <w:ind w:left="284"/>
        <w:jc w:val="both"/>
      </w:pPr>
      <w:hyperlink r:id="rId6" w:history="1">
        <w:r>
          <w:rPr>
            <w:rStyle w:val="Hiperhivatkozs"/>
          </w:rPr>
          <w:t>http://www.hadkiegeszites.hu./container/files/attachments/29/behívóparancshoz_csatolt_általános_tájékoztató.pdf</w:t>
        </w:r>
      </w:hyperlink>
    </w:p>
    <w:p w14:paraId="5D851A56" w14:textId="77777777" w:rsidR="00C25E9D" w:rsidRDefault="00C25E9D" w:rsidP="00C25E9D"/>
    <w:p w14:paraId="26846083" w14:textId="77777777" w:rsidR="00770322" w:rsidRDefault="00770322"/>
    <w:sectPr w:rsidR="00770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D6A02"/>
    <w:multiLevelType w:val="hybridMultilevel"/>
    <w:tmpl w:val="19761F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E7CCC"/>
    <w:multiLevelType w:val="hybridMultilevel"/>
    <w:tmpl w:val="FCDC2D60"/>
    <w:lvl w:ilvl="0" w:tplc="DA3831B2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FB2"/>
    <w:rsid w:val="00765FB2"/>
    <w:rsid w:val="00770322"/>
    <w:rsid w:val="00C2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771AFE-DAD9-46EE-ADB6-4B46CFF77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25E9D"/>
    <w:pPr>
      <w:spacing w:after="0" w:line="240" w:lineRule="auto"/>
    </w:pPr>
    <w:rPr>
      <w:rFonts w:ascii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C25E9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5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dkiegeszites.hu./container/files/attachments/29/behi&#769;vo&#769;parancshoz_csatolt_a&#769;ltala&#769;nos_ta&#769;je&#769;koztato&#769;.pdf" TargetMode="External"/><Relationship Id="rId5" Type="http://schemas.openxmlformats.org/officeDocument/2006/relationships/hyperlink" Target="http://www.hadkiegeszites.h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2832</Characters>
  <Application>Microsoft Office Word</Application>
  <DocSecurity>0</DocSecurity>
  <Lines>23</Lines>
  <Paragraphs>6</Paragraphs>
  <ScaleCrop>false</ScaleCrop>
  <Company>HDF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Bársony Dávid László hdgy.</dc:creator>
  <cp:keywords/>
  <dc:description/>
  <cp:lastModifiedBy>Bársony Dávid László hdgy.</cp:lastModifiedBy>
  <cp:revision>2</cp:revision>
  <dcterms:created xsi:type="dcterms:W3CDTF">2023-01-26T10:43:00Z</dcterms:created>
  <dcterms:modified xsi:type="dcterms:W3CDTF">2023-01-26T10:44:00Z</dcterms:modified>
</cp:coreProperties>
</file>